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pedr2xttpvp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Analysis Methodology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How the lead scoring and conversion analysis were constructed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h9nbn9fv4ew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Purpose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document explains the scoring logic, segmentation method, and conversion calculations used in the analysis. The goal was to create a transparent framework that could show how engagement and recency relate to conversion performance.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znqtl1c6mi0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Analytical design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analysis was built around two segmentations: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lead recency buckets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engagement tiers</w:t>
        <w:br w:type="textWrapping"/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Both were calculated in BigQuery SQL from the cleaned analysis table.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ovgu031wcnp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Part 1: Recency analysis</w:t>
      </w:r>
    </w:p>
    <w:p w:rsidR="00000000" w:rsidDel="00000000" w:rsidP="00000000" w:rsidRDefault="00000000" w:rsidRPr="00000000" w14:paraId="0000000B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5q9b6nrz55fr" w:id="4"/>
      <w:bookmarkEnd w:id="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Recency bucket logic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Leads were grouped into recency buckets using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Recency</w:t>
      </w:r>
      <w:r w:rsidDel="00000000" w:rsidR="00000000" w:rsidRPr="00000000">
        <w:rPr>
          <w:rtl w:val="0"/>
        </w:rPr>
        <w:t xml:space="preserve"> field:</w:t>
      </w:r>
    </w:p>
    <w:p w:rsidR="00000000" w:rsidDel="00000000" w:rsidP="00000000" w:rsidRDefault="00000000" w:rsidRPr="00000000" w14:paraId="0000000D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0–30 days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31–90 days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91–180 days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180+ days</w:t>
      </w:r>
      <w:r w:rsidDel="00000000" w:rsidR="00000000" w:rsidRPr="00000000">
        <w:rPr>
          <w:rtl w:val="0"/>
        </w:rPr>
        <w:t xml:space="preserve"> as a fallback bucket in SQL for completeness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groupings were used to compare conversion rates across different timing windows.</w:t>
      </w:r>
    </w:p>
    <w:p w:rsidR="00000000" w:rsidDel="00000000" w:rsidP="00000000" w:rsidRDefault="00000000" w:rsidRPr="00000000" w14:paraId="00000012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g6pobcqsue" w:id="5"/>
      <w:bookmarkEnd w:id="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Recency conversion calculation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each bucket, the analysis calculated: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number of leads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number of conversions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conversion rate using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SAFE_DIVIDE(SUM(Response), COUNT(*))</w:t>
        <w:br w:type="textWrapping"/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allowed the analysis to compare how conversion changes as leads become older.</w:t>
      </w:r>
    </w:p>
    <w:p w:rsidR="00000000" w:rsidDel="00000000" w:rsidP="00000000" w:rsidRDefault="00000000" w:rsidRPr="00000000" w14:paraId="00000018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wg2i8kf9yfne" w:id="6"/>
      <w:bookmarkEnd w:id="6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Recency result summary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primary observed pattern was:</w:t>
      </w:r>
    </w:p>
    <w:p w:rsidR="00000000" w:rsidDel="00000000" w:rsidP="00000000" w:rsidRDefault="00000000" w:rsidRPr="00000000" w14:paraId="0000001A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0–30 days:</w:t>
      </w:r>
      <w:r w:rsidDel="00000000" w:rsidR="00000000" w:rsidRPr="00000000">
        <w:rPr>
          <w:rtl w:val="0"/>
        </w:rPr>
        <w:t xml:space="preserve"> 23.9%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31–90 days:</w:t>
      </w:r>
      <w:r w:rsidDel="00000000" w:rsidR="00000000" w:rsidRPr="00000000">
        <w:rPr>
          <w:rtl w:val="0"/>
        </w:rPr>
        <w:t xml:space="preserve"> 11.4%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91–180 days:</w:t>
      </w:r>
      <w:r w:rsidDel="00000000" w:rsidR="00000000" w:rsidRPr="00000000">
        <w:rPr>
          <w:rtl w:val="0"/>
        </w:rPr>
        <w:t xml:space="preserve"> 5.6%</w:t>
        <w:br w:type="textWrapping"/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indicates a clear decline in conversion rate as lead recency increases.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cfb7enfox2a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Part 2: Engagement scoring</w:t>
      </w:r>
    </w:p>
    <w:p w:rsidR="00000000" w:rsidDel="00000000" w:rsidP="00000000" w:rsidRDefault="00000000" w:rsidRPr="00000000" w14:paraId="0000001F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bmvho3fn0vzw" w:id="8"/>
      <w:bookmarkEnd w:id="8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Input variables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engagement score was intentionally simple and transparent. It was built from three components: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Monthly web visits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Total purchases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Recency bonus</w:t>
        <w:br w:type="textWrapping"/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SQL calculated total purchases as: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NumWebPurchases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plus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NumCatalogPurchases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plus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NumStorePurchases</w:t>
        <w:br w:type="textWrapping"/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Web visits were taken from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NumWebVisitsMonth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9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u3n26h2pblqx" w:id="9"/>
      <w:bookmarkEnd w:id="9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Engagement score formula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score was calculated as: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web_visits * 2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plus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total_purchases * 3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plus a recency bonus:</w:t>
        <w:br w:type="textWrapping"/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+10</w:t>
      </w:r>
      <w:r w:rsidDel="00000000" w:rsidR="00000000" w:rsidRPr="00000000">
        <w:rPr>
          <w:rtl w:val="0"/>
        </w:rPr>
        <w:t xml:space="preserve"> when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Recency &lt;= 30</w:t>
        <w:br w:type="textWrapping"/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+5</w:t>
      </w:r>
      <w:r w:rsidDel="00000000" w:rsidR="00000000" w:rsidRPr="00000000">
        <w:rPr>
          <w:rtl w:val="0"/>
        </w:rPr>
        <w:t xml:space="preserve"> when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Recency &lt;= 90</w:t>
        <w:br w:type="textWrapping"/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+0</w:t>
      </w:r>
      <w:r w:rsidDel="00000000" w:rsidR="00000000" w:rsidRPr="00000000">
        <w:rPr>
          <w:rtl w:val="0"/>
        </w:rPr>
        <w:t xml:space="preserve"> otherwise</w:t>
        <w:br w:type="textWrapping"/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formula was designed to reflect a simple operational assumption: more recent and more active leads are more likely to be worth prioritizing.</w:t>
      </w:r>
    </w:p>
    <w:p w:rsidR="00000000" w:rsidDel="00000000" w:rsidP="00000000" w:rsidRDefault="00000000" w:rsidRPr="00000000" w14:paraId="00000032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9tr4z2p3bm41" w:id="10"/>
      <w:bookmarkEnd w:id="1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Tiering method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scoring, leads were segmented into three equal relative groups using: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NTILE(3) OVER (ORDER BY engagement_score)</w:t>
        <w:br w:type="textWrapping"/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groups were then labeled: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High Engagement</w:t>
        <w:br w:type="textWrapping"/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Medium Engagement</w:t>
        <w:br w:type="textWrapping"/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Low Engagement</w:t>
        <w:br w:type="textWrapping"/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is an analytical tiering method rather than a fixed business rules engine. It is useful for comparing cohorts and understanding relative conversion performance.</w:t>
      </w:r>
    </w:p>
    <w:p w:rsidR="00000000" w:rsidDel="00000000" w:rsidP="00000000" w:rsidRDefault="00000000" w:rsidRPr="00000000" w14:paraId="0000003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9db08b5mj5p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Engagement conversion calculation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each engagement tier, the analysis calculated:</w:t>
      </w:r>
    </w:p>
    <w:p w:rsidR="00000000" w:rsidDel="00000000" w:rsidP="00000000" w:rsidRDefault="00000000" w:rsidRPr="00000000" w14:paraId="0000003C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lead count</w:t>
        <w:br w:type="textWrapping"/>
      </w:r>
    </w:p>
    <w:p w:rsidR="00000000" w:rsidDel="00000000" w:rsidP="00000000" w:rsidRDefault="00000000" w:rsidRPr="00000000" w14:paraId="0000003D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conversion count</w:t>
        <w:br w:type="textWrapping"/>
      </w:r>
    </w:p>
    <w:p w:rsidR="00000000" w:rsidDel="00000000" w:rsidP="00000000" w:rsidRDefault="00000000" w:rsidRPr="00000000" w14:paraId="0000003E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conversion rate</w:t>
        <w:br w:type="textWrapping"/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resulting conversion rates were:</w:t>
      </w:r>
    </w:p>
    <w:p w:rsidR="00000000" w:rsidDel="00000000" w:rsidP="00000000" w:rsidRDefault="00000000" w:rsidRPr="00000000" w14:paraId="00000040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High Engagement:</w:t>
      </w:r>
      <w:r w:rsidDel="00000000" w:rsidR="00000000" w:rsidRPr="00000000">
        <w:rPr>
          <w:rtl w:val="0"/>
        </w:rPr>
        <w:t xml:space="preserve"> 22.82%</w:t>
        <w:br w:type="textWrapping"/>
      </w:r>
    </w:p>
    <w:p w:rsidR="00000000" w:rsidDel="00000000" w:rsidP="00000000" w:rsidRDefault="00000000" w:rsidRPr="00000000" w14:paraId="00000041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Medium Engagement:</w:t>
      </w:r>
      <w:r w:rsidDel="00000000" w:rsidR="00000000" w:rsidRPr="00000000">
        <w:rPr>
          <w:rtl w:val="0"/>
        </w:rPr>
        <w:t xml:space="preserve"> 16.76%</w:t>
        <w:br w:type="textWrapping"/>
      </w:r>
    </w:p>
    <w:p w:rsidR="00000000" w:rsidDel="00000000" w:rsidP="00000000" w:rsidRDefault="00000000" w:rsidRPr="00000000" w14:paraId="00000042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Low Engagement:</w:t>
      </w:r>
      <w:r w:rsidDel="00000000" w:rsidR="00000000" w:rsidRPr="00000000">
        <w:rPr>
          <w:rtl w:val="0"/>
        </w:rPr>
        <w:t xml:space="preserve"> 5.23%</w:t>
        <w:br w:type="textWrapping"/>
      </w:r>
    </w:p>
    <w:p w:rsidR="00000000" w:rsidDel="00000000" w:rsidP="00000000" w:rsidRDefault="00000000" w:rsidRPr="00000000" w14:paraId="0000004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hxw7mescw3g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Interpretation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methodology shows a consistent pattern across both segmentations:</w:t>
      </w:r>
    </w:p>
    <w:p w:rsidR="00000000" w:rsidDel="00000000" w:rsidP="00000000" w:rsidRDefault="00000000" w:rsidRPr="00000000" w14:paraId="00000045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more engaged leads convert at higher rates</w:t>
        <w:br w:type="textWrapping"/>
      </w:r>
    </w:p>
    <w:p w:rsidR="00000000" w:rsidDel="00000000" w:rsidP="00000000" w:rsidRDefault="00000000" w:rsidRPr="00000000" w14:paraId="00000046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more recent leads convert at higher rates</w:t>
        <w:br w:type="textWrapping"/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results do not prove causality, and they are not intended as a formal predictive model. Instead, they show that a transparent, SQL-based segmentation framework can reveal operationally useful differences in conversion likelihood.</w:t>
      </w:r>
    </w:p>
    <w:p w:rsidR="00000000" w:rsidDel="00000000" w:rsidP="00000000" w:rsidRDefault="00000000" w:rsidRPr="00000000" w14:paraId="0000004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6y4nm9y0tah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Methodological note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project emphasizes interpretability. The scoring logic is simple enough to explain to business stakeholders, easy to audit in SQL, and practical for portfolio demonstration. In a production environment, this framework could be extended with: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additional behavioral signals</w:t>
        <w:br w:type="textWrapping"/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validation testing</w:t>
        <w:br w:type="textWrapping"/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threshold tuning</w:t>
        <w:br w:type="textWrapping"/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scoring calibration over time</w:t>
        <w:br w:type="textWrapping"/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this project, the priority was clarity, not model complexity.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