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33zf8gxbndw5" w:id="0"/>
      <w:bookmarkEnd w:id="0"/>
      <w:r w:rsidDel="00000000" w:rsidR="00000000" w:rsidRPr="00000000">
        <w:rPr>
          <w:b w:val="1"/>
          <w:bCs w:val="1"/>
          <w:color w:val="000000"/>
          <w:sz w:val="26"/>
          <w:szCs w:val="26"/>
          <w:rtl w:val="0"/>
        </w:rPr>
        <w:t xml:space="preserve">Operational Recommendations</w:t>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How the analysis can translate into RevOps and marketing operations action</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x4cz1d382g0v" w:id="1"/>
      <w:bookmarkEnd w:id="1"/>
      <w:r w:rsidDel="00000000" w:rsidR="00000000" w:rsidRPr="00000000">
        <w:rPr>
          <w:b w:val="1"/>
          <w:bCs w:val="1"/>
          <w:color w:val="000000"/>
          <w:sz w:val="26"/>
          <w:szCs w:val="26"/>
          <w:rtl w:val="0"/>
        </w:rPr>
        <w:t xml:space="preserve">Purpose</w:t>
      </w:r>
    </w:p>
    <w:p w:rsidR="00000000" w:rsidDel="00000000" w:rsidP="00000000" w:rsidRDefault="00000000" w:rsidRPr="00000000" w14:paraId="00000004">
      <w:pPr>
        <w:spacing w:after="240" w:before="240" w:lineRule="auto"/>
        <w:rPr/>
      </w:pPr>
      <w:r w:rsidDel="00000000" w:rsidR="00000000" w:rsidRPr="00000000">
        <w:rPr>
          <w:rtl w:val="0"/>
        </w:rPr>
        <w:t xml:space="preserve">This document outlines practical recommendations based on the lead conversion analysis. The goal is to show how simple behavioral findings can be translated into operational logic that improves prioritization and efficiency.</w:t>
      </w:r>
    </w:p>
    <w:p w:rsidR="00000000" w:rsidDel="00000000" w:rsidP="00000000" w:rsidRDefault="00000000" w:rsidRPr="00000000" w14:paraId="00000005">
      <w:pPr>
        <w:pStyle w:val="Heading3"/>
        <w:keepNext w:val="0"/>
        <w:keepLines w:val="0"/>
        <w:spacing w:before="280" w:lineRule="auto"/>
        <w:rPr>
          <w:b w:val="1"/>
          <w:bCs w:val="1"/>
          <w:color w:val="000000"/>
          <w:sz w:val="26"/>
          <w:szCs w:val="26"/>
        </w:rPr>
      </w:pPr>
      <w:bookmarkStart w:colFirst="0" w:colLast="0" w:name="_elk8z1ybvw0c" w:id="2"/>
      <w:bookmarkEnd w:id="2"/>
      <w:r w:rsidDel="00000000" w:rsidR="00000000" w:rsidRPr="00000000">
        <w:rPr>
          <w:b w:val="1"/>
          <w:bCs w:val="1"/>
          <w:color w:val="000000"/>
          <w:sz w:val="26"/>
          <w:szCs w:val="26"/>
          <w:rtl w:val="0"/>
        </w:rPr>
        <w:t xml:space="preserve">Summary of findings</w:t>
      </w:r>
    </w:p>
    <w:p w:rsidR="00000000" w:rsidDel="00000000" w:rsidP="00000000" w:rsidRDefault="00000000" w:rsidRPr="00000000" w14:paraId="00000006">
      <w:pPr>
        <w:spacing w:after="240" w:before="240" w:lineRule="auto"/>
        <w:rPr/>
      </w:pPr>
      <w:r w:rsidDel="00000000" w:rsidR="00000000" w:rsidRPr="00000000">
        <w:rPr>
          <w:rtl w:val="0"/>
        </w:rPr>
        <w:t xml:space="preserve">The analysis showed two clear patterns:</w:t>
      </w:r>
    </w:p>
    <w:p w:rsidR="00000000" w:rsidDel="00000000" w:rsidP="00000000" w:rsidRDefault="00000000" w:rsidRPr="00000000" w14:paraId="00000007">
      <w:pPr>
        <w:numPr>
          <w:ilvl w:val="0"/>
          <w:numId w:val="1"/>
        </w:numPr>
        <w:spacing w:after="0" w:afterAutospacing="0" w:before="240" w:lineRule="auto"/>
        <w:ind w:left="720" w:hanging="360"/>
      </w:pPr>
      <w:r w:rsidDel="00000000" w:rsidR="00000000" w:rsidRPr="00000000">
        <w:rPr>
          <w:rtl w:val="0"/>
        </w:rPr>
        <w:t xml:space="preserve">higher-engagement leads converted at higher rates</w:t>
        <w:br w:type="textWrapping"/>
      </w:r>
    </w:p>
    <w:p w:rsidR="00000000" w:rsidDel="00000000" w:rsidP="00000000" w:rsidRDefault="00000000" w:rsidRPr="00000000" w14:paraId="00000008">
      <w:pPr>
        <w:numPr>
          <w:ilvl w:val="0"/>
          <w:numId w:val="1"/>
        </w:numPr>
        <w:spacing w:after="240" w:before="0" w:beforeAutospacing="0" w:lineRule="auto"/>
        <w:ind w:left="720" w:hanging="360"/>
      </w:pPr>
      <w:r w:rsidDel="00000000" w:rsidR="00000000" w:rsidRPr="00000000">
        <w:rPr>
          <w:rtl w:val="0"/>
        </w:rPr>
        <w:t xml:space="preserve">more recent leads converted at higher rates</w:t>
        <w:br w:type="textWrapping"/>
      </w:r>
    </w:p>
    <w:p w:rsidR="00000000" w:rsidDel="00000000" w:rsidP="00000000" w:rsidRDefault="00000000" w:rsidRPr="00000000" w14:paraId="00000009">
      <w:pPr>
        <w:spacing w:after="240" w:before="240" w:lineRule="auto"/>
        <w:rPr/>
      </w:pPr>
      <w:r w:rsidDel="00000000" w:rsidR="00000000" w:rsidRPr="00000000">
        <w:rPr>
          <w:rtl w:val="0"/>
        </w:rPr>
        <w:t xml:space="preserve">Together, these findings support a lead management strategy that emphasizes timing and behavioral activity rather than treating all leads as equally urgent.</w:t>
      </w:r>
    </w:p>
    <w:p w:rsidR="00000000" w:rsidDel="00000000" w:rsidP="00000000" w:rsidRDefault="00000000" w:rsidRPr="00000000" w14:paraId="0000000A">
      <w:pPr>
        <w:pStyle w:val="Heading3"/>
        <w:keepNext w:val="0"/>
        <w:keepLines w:val="0"/>
        <w:spacing w:before="280" w:lineRule="auto"/>
        <w:rPr>
          <w:b w:val="1"/>
          <w:bCs w:val="1"/>
          <w:color w:val="000000"/>
          <w:sz w:val="26"/>
          <w:szCs w:val="26"/>
        </w:rPr>
      </w:pPr>
      <w:bookmarkStart w:colFirst="0" w:colLast="0" w:name="_diredpur4bzv" w:id="3"/>
      <w:bookmarkEnd w:id="3"/>
      <w:r w:rsidDel="00000000" w:rsidR="00000000" w:rsidRPr="00000000">
        <w:rPr>
          <w:b w:val="1"/>
          <w:bCs w:val="1"/>
          <w:color w:val="000000"/>
          <w:sz w:val="26"/>
          <w:szCs w:val="26"/>
          <w:rtl w:val="0"/>
        </w:rPr>
        <w:t xml:space="preserve">Recommendations</w:t>
      </w:r>
    </w:p>
    <w:p w:rsidR="00000000" w:rsidDel="00000000" w:rsidP="00000000" w:rsidRDefault="00000000" w:rsidRPr="00000000" w14:paraId="0000000B">
      <w:pPr>
        <w:pStyle w:val="Heading4"/>
        <w:keepNext w:val="0"/>
        <w:keepLines w:val="0"/>
        <w:spacing w:after="40" w:before="240" w:lineRule="auto"/>
        <w:rPr>
          <w:b w:val="1"/>
          <w:bCs w:val="1"/>
          <w:color w:val="000000"/>
          <w:sz w:val="22"/>
          <w:szCs w:val="22"/>
        </w:rPr>
      </w:pPr>
      <w:bookmarkStart w:colFirst="0" w:colLast="0" w:name="_d8icdvxi6zx6" w:id="4"/>
      <w:bookmarkEnd w:id="4"/>
      <w:r w:rsidDel="00000000" w:rsidR="00000000" w:rsidRPr="00000000">
        <w:rPr>
          <w:b w:val="1"/>
          <w:bCs w:val="1"/>
          <w:color w:val="000000"/>
          <w:sz w:val="22"/>
          <w:szCs w:val="22"/>
          <w:rtl w:val="0"/>
        </w:rPr>
        <w:t xml:space="preserve">1. Prioritize high-engagement leads first</w:t>
      </w:r>
    </w:p>
    <w:p w:rsidR="00000000" w:rsidDel="00000000" w:rsidP="00000000" w:rsidRDefault="00000000" w:rsidRPr="00000000" w14:paraId="0000000C">
      <w:pPr>
        <w:spacing w:after="240" w:before="240" w:lineRule="auto"/>
        <w:rPr/>
      </w:pPr>
      <w:r w:rsidDel="00000000" w:rsidR="00000000" w:rsidRPr="00000000">
        <w:rPr>
          <w:rtl w:val="0"/>
        </w:rPr>
        <w:t xml:space="preserve">Leads in the high-engagement tier should receive faster and more consistent follow-up than lower-engagement leads. This group demonstrated the strongest conversion performance in the analysis and appears to represent the highest-value opportunity set for immediate sales or lifecycle attention.</w:t>
      </w:r>
    </w:p>
    <w:p w:rsidR="00000000" w:rsidDel="00000000" w:rsidP="00000000" w:rsidRDefault="00000000" w:rsidRPr="00000000" w14:paraId="0000000D">
      <w:pPr>
        <w:spacing w:after="240" w:before="240" w:lineRule="auto"/>
        <w:rPr/>
      </w:pPr>
      <w:r w:rsidDel="00000000" w:rsidR="00000000" w:rsidRPr="00000000">
        <w:rPr>
          <w:rtl w:val="0"/>
        </w:rPr>
        <w:t xml:space="preserve">Possible operational uses:</w:t>
      </w:r>
    </w:p>
    <w:p w:rsidR="00000000" w:rsidDel="00000000" w:rsidP="00000000" w:rsidRDefault="00000000" w:rsidRPr="00000000" w14:paraId="0000000E">
      <w:pPr>
        <w:numPr>
          <w:ilvl w:val="0"/>
          <w:numId w:val="3"/>
        </w:numPr>
        <w:spacing w:after="0" w:afterAutospacing="0" w:before="240" w:lineRule="auto"/>
        <w:ind w:left="720" w:hanging="360"/>
      </w:pPr>
      <w:r w:rsidDel="00000000" w:rsidR="00000000" w:rsidRPr="00000000">
        <w:rPr>
          <w:rtl w:val="0"/>
        </w:rPr>
        <w:t xml:space="preserve">higher routing priority</w:t>
        <w:br w:type="textWrapping"/>
      </w:r>
    </w:p>
    <w:p w:rsidR="00000000" w:rsidDel="00000000" w:rsidP="00000000" w:rsidRDefault="00000000" w:rsidRPr="00000000" w14:paraId="0000000F">
      <w:pPr>
        <w:numPr>
          <w:ilvl w:val="0"/>
          <w:numId w:val="3"/>
        </w:numPr>
        <w:spacing w:after="0" w:afterAutospacing="0" w:before="0" w:beforeAutospacing="0" w:lineRule="auto"/>
        <w:ind w:left="720" w:hanging="360"/>
      </w:pPr>
      <w:r w:rsidDel="00000000" w:rsidR="00000000" w:rsidRPr="00000000">
        <w:rPr>
          <w:rtl w:val="0"/>
        </w:rPr>
        <w:t xml:space="preserve">faster SLA expectations</w:t>
        <w:br w:type="textWrapping"/>
      </w:r>
    </w:p>
    <w:p w:rsidR="00000000" w:rsidDel="00000000" w:rsidP="00000000" w:rsidRDefault="00000000" w:rsidRPr="00000000" w14:paraId="00000010">
      <w:pPr>
        <w:numPr>
          <w:ilvl w:val="0"/>
          <w:numId w:val="3"/>
        </w:numPr>
        <w:spacing w:after="0" w:afterAutospacing="0" w:before="0" w:beforeAutospacing="0" w:lineRule="auto"/>
        <w:ind w:left="720" w:hanging="360"/>
      </w:pPr>
      <w:r w:rsidDel="00000000" w:rsidR="00000000" w:rsidRPr="00000000">
        <w:rPr>
          <w:rtl w:val="0"/>
        </w:rPr>
        <w:t xml:space="preserve">earlier human follow-up</w:t>
        <w:br w:type="textWrapping"/>
      </w:r>
    </w:p>
    <w:p w:rsidR="00000000" w:rsidDel="00000000" w:rsidP="00000000" w:rsidRDefault="00000000" w:rsidRPr="00000000" w14:paraId="00000011">
      <w:pPr>
        <w:numPr>
          <w:ilvl w:val="0"/>
          <w:numId w:val="3"/>
        </w:numPr>
        <w:spacing w:after="240" w:before="0" w:beforeAutospacing="0" w:lineRule="auto"/>
        <w:ind w:left="720" w:hanging="360"/>
      </w:pPr>
      <w:r w:rsidDel="00000000" w:rsidR="00000000" w:rsidRPr="00000000">
        <w:rPr>
          <w:rtl w:val="0"/>
        </w:rPr>
        <w:t xml:space="preserve">stronger handoff criteria</w:t>
        <w:br w:type="textWrapping"/>
      </w:r>
    </w:p>
    <w:p w:rsidR="00000000" w:rsidDel="00000000" w:rsidP="00000000" w:rsidRDefault="00000000" w:rsidRPr="00000000" w14:paraId="00000012">
      <w:pPr>
        <w:pStyle w:val="Heading4"/>
        <w:keepNext w:val="0"/>
        <w:keepLines w:val="0"/>
        <w:spacing w:after="40" w:before="240" w:lineRule="auto"/>
        <w:rPr>
          <w:b w:val="1"/>
          <w:bCs w:val="1"/>
          <w:color w:val="000000"/>
          <w:sz w:val="22"/>
          <w:szCs w:val="22"/>
        </w:rPr>
      </w:pPr>
      <w:bookmarkStart w:colFirst="0" w:colLast="0" w:name="_40eir9ejmas1" w:id="5"/>
      <w:bookmarkEnd w:id="5"/>
      <w:r w:rsidDel="00000000" w:rsidR="00000000" w:rsidRPr="00000000">
        <w:rPr>
          <w:b w:val="1"/>
          <w:bCs w:val="1"/>
          <w:color w:val="000000"/>
          <w:sz w:val="22"/>
          <w:szCs w:val="22"/>
          <w:rtl w:val="0"/>
        </w:rPr>
        <w:t xml:space="preserve">2. Add recency-based urgency rules</w:t>
      </w:r>
    </w:p>
    <w:p w:rsidR="00000000" w:rsidDel="00000000" w:rsidP="00000000" w:rsidRDefault="00000000" w:rsidRPr="00000000" w14:paraId="00000013">
      <w:pPr>
        <w:spacing w:after="240" w:before="240" w:lineRule="auto"/>
        <w:rPr/>
      </w:pPr>
      <w:r w:rsidDel="00000000" w:rsidR="00000000" w:rsidRPr="00000000">
        <w:rPr>
          <w:rtl w:val="0"/>
        </w:rPr>
        <w:t xml:space="preserve">Lead age should influence how quickly outreach occurs. The recency results suggest that the highest-converting window is the earliest one, especially within the first 30 days.</w:t>
      </w:r>
    </w:p>
    <w:p w:rsidR="00000000" w:rsidDel="00000000" w:rsidP="00000000" w:rsidRDefault="00000000" w:rsidRPr="00000000" w14:paraId="00000014">
      <w:pPr>
        <w:spacing w:after="240" w:before="240" w:lineRule="auto"/>
        <w:rPr/>
      </w:pPr>
      <w:r w:rsidDel="00000000" w:rsidR="00000000" w:rsidRPr="00000000">
        <w:rPr>
          <w:rtl w:val="0"/>
        </w:rPr>
        <w:t xml:space="preserve">Possible operational uses:</w:t>
      </w:r>
    </w:p>
    <w:p w:rsidR="00000000" w:rsidDel="00000000" w:rsidP="00000000" w:rsidRDefault="00000000" w:rsidRPr="00000000" w14:paraId="00000015">
      <w:pPr>
        <w:numPr>
          <w:ilvl w:val="0"/>
          <w:numId w:val="2"/>
        </w:numPr>
        <w:spacing w:after="0" w:afterAutospacing="0" w:before="240" w:lineRule="auto"/>
        <w:ind w:left="720" w:hanging="360"/>
      </w:pPr>
      <w:r w:rsidDel="00000000" w:rsidR="00000000" w:rsidRPr="00000000">
        <w:rPr>
          <w:rtl w:val="0"/>
        </w:rPr>
        <w:t xml:space="preserve">accelerated follow-up for recent leads</w:t>
        <w:br w:type="textWrapping"/>
      </w:r>
    </w:p>
    <w:p w:rsidR="00000000" w:rsidDel="00000000" w:rsidP="00000000" w:rsidRDefault="00000000" w:rsidRPr="00000000" w14:paraId="00000016">
      <w:pPr>
        <w:numPr>
          <w:ilvl w:val="0"/>
          <w:numId w:val="2"/>
        </w:numPr>
        <w:spacing w:after="0" w:afterAutospacing="0" w:before="0" w:beforeAutospacing="0" w:lineRule="auto"/>
        <w:ind w:left="720" w:hanging="360"/>
      </w:pPr>
      <w:r w:rsidDel="00000000" w:rsidR="00000000" w:rsidRPr="00000000">
        <w:rPr>
          <w:rtl w:val="0"/>
        </w:rPr>
        <w:t xml:space="preserve">aging rules that reduce priority over time</w:t>
        <w:br w:type="textWrapping"/>
      </w:r>
    </w:p>
    <w:p w:rsidR="00000000" w:rsidDel="00000000" w:rsidP="00000000" w:rsidRDefault="00000000" w:rsidRPr="00000000" w14:paraId="00000017">
      <w:pPr>
        <w:numPr>
          <w:ilvl w:val="0"/>
          <w:numId w:val="2"/>
        </w:numPr>
        <w:spacing w:after="0" w:afterAutospacing="0" w:before="0" w:beforeAutospacing="0" w:lineRule="auto"/>
        <w:ind w:left="720" w:hanging="360"/>
      </w:pPr>
      <w:r w:rsidDel="00000000" w:rsidR="00000000" w:rsidRPr="00000000">
        <w:rPr>
          <w:rtl w:val="0"/>
        </w:rPr>
        <w:t xml:space="preserve">time-based escalation triggers</w:t>
        <w:br w:type="textWrapping"/>
      </w:r>
    </w:p>
    <w:p w:rsidR="00000000" w:rsidDel="00000000" w:rsidP="00000000" w:rsidRDefault="00000000" w:rsidRPr="00000000" w14:paraId="00000018">
      <w:pPr>
        <w:numPr>
          <w:ilvl w:val="0"/>
          <w:numId w:val="2"/>
        </w:numPr>
        <w:spacing w:after="240" w:before="0" w:beforeAutospacing="0" w:lineRule="auto"/>
        <w:ind w:left="720" w:hanging="360"/>
      </w:pPr>
      <w:r w:rsidDel="00000000" w:rsidR="00000000" w:rsidRPr="00000000">
        <w:rPr>
          <w:rtl w:val="0"/>
        </w:rPr>
        <w:t xml:space="preserve">recency-aware nurture logic</w:t>
        <w:br w:type="textWrapping"/>
      </w:r>
    </w:p>
    <w:p w:rsidR="00000000" w:rsidDel="00000000" w:rsidP="00000000" w:rsidRDefault="00000000" w:rsidRPr="00000000" w14:paraId="00000019">
      <w:pPr>
        <w:pStyle w:val="Heading4"/>
        <w:keepNext w:val="0"/>
        <w:keepLines w:val="0"/>
        <w:spacing w:after="40" w:before="240" w:lineRule="auto"/>
        <w:rPr>
          <w:b w:val="1"/>
          <w:bCs w:val="1"/>
          <w:color w:val="000000"/>
          <w:sz w:val="22"/>
          <w:szCs w:val="22"/>
        </w:rPr>
      </w:pPr>
      <w:bookmarkStart w:colFirst="0" w:colLast="0" w:name="_khogilth4dmg" w:id="6"/>
      <w:bookmarkEnd w:id="6"/>
      <w:r w:rsidDel="00000000" w:rsidR="00000000" w:rsidRPr="00000000">
        <w:rPr>
          <w:b w:val="1"/>
          <w:bCs w:val="1"/>
          <w:color w:val="000000"/>
          <w:sz w:val="22"/>
          <w:szCs w:val="22"/>
          <w:rtl w:val="0"/>
        </w:rPr>
        <w:t xml:space="preserve">3. Use behavior before static profile fields</w:t>
      </w:r>
    </w:p>
    <w:p w:rsidR="00000000" w:rsidDel="00000000" w:rsidP="00000000" w:rsidRDefault="00000000" w:rsidRPr="00000000" w14:paraId="0000001A">
      <w:pPr>
        <w:spacing w:after="240" w:before="240" w:lineRule="auto"/>
        <w:rPr/>
      </w:pPr>
      <w:r w:rsidDel="00000000" w:rsidR="00000000" w:rsidRPr="00000000">
        <w:rPr>
          <w:rtl w:val="0"/>
        </w:rPr>
        <w:t xml:space="preserve">When deciding how to prioritize records, behavioral signals should play a major role. Static descriptive attributes may still support segmentation, but recent activity and observable engagement are often more useful for immediate workflow decisions.</w:t>
      </w:r>
    </w:p>
    <w:p w:rsidR="00000000" w:rsidDel="00000000" w:rsidP="00000000" w:rsidRDefault="00000000" w:rsidRPr="00000000" w14:paraId="0000001B">
      <w:pPr>
        <w:spacing w:after="240" w:before="240" w:lineRule="auto"/>
        <w:rPr/>
      </w:pPr>
      <w:r w:rsidDel="00000000" w:rsidR="00000000" w:rsidRPr="00000000">
        <w:rPr>
          <w:rtl w:val="0"/>
        </w:rPr>
        <w:t xml:space="preserve">Possible operational uses:</w:t>
      </w:r>
    </w:p>
    <w:p w:rsidR="00000000" w:rsidDel="00000000" w:rsidP="00000000" w:rsidRDefault="00000000" w:rsidRPr="00000000" w14:paraId="0000001C">
      <w:pPr>
        <w:numPr>
          <w:ilvl w:val="0"/>
          <w:numId w:val="6"/>
        </w:numPr>
        <w:spacing w:after="0" w:afterAutospacing="0" w:before="240" w:lineRule="auto"/>
        <w:ind w:left="720" w:hanging="360"/>
      </w:pPr>
      <w:r w:rsidDel="00000000" w:rsidR="00000000" w:rsidRPr="00000000">
        <w:rPr>
          <w:rtl w:val="0"/>
        </w:rPr>
        <w:t xml:space="preserve">lead scoring inputs</w:t>
        <w:br w:type="textWrapping"/>
      </w:r>
    </w:p>
    <w:p w:rsidR="00000000" w:rsidDel="00000000" w:rsidP="00000000" w:rsidRDefault="00000000" w:rsidRPr="00000000" w14:paraId="0000001D">
      <w:pPr>
        <w:numPr>
          <w:ilvl w:val="0"/>
          <w:numId w:val="6"/>
        </w:numPr>
        <w:spacing w:after="0" w:afterAutospacing="0" w:before="0" w:beforeAutospacing="0" w:lineRule="auto"/>
        <w:ind w:left="720" w:hanging="360"/>
      </w:pPr>
      <w:r w:rsidDel="00000000" w:rsidR="00000000" w:rsidRPr="00000000">
        <w:rPr>
          <w:rtl w:val="0"/>
        </w:rPr>
        <w:t xml:space="preserve">lifecycle progression criteria</w:t>
        <w:br w:type="textWrapping"/>
      </w:r>
    </w:p>
    <w:p w:rsidR="00000000" w:rsidDel="00000000" w:rsidP="00000000" w:rsidRDefault="00000000" w:rsidRPr="00000000" w14:paraId="0000001E">
      <w:pPr>
        <w:numPr>
          <w:ilvl w:val="0"/>
          <w:numId w:val="6"/>
        </w:numPr>
        <w:spacing w:after="0" w:afterAutospacing="0" w:before="0" w:beforeAutospacing="0" w:lineRule="auto"/>
        <w:ind w:left="720" w:hanging="360"/>
      </w:pPr>
      <w:r w:rsidDel="00000000" w:rsidR="00000000" w:rsidRPr="00000000">
        <w:rPr>
          <w:rtl w:val="0"/>
        </w:rPr>
        <w:t xml:space="preserve">task prioritization</w:t>
        <w:br w:type="textWrapping"/>
      </w:r>
    </w:p>
    <w:p w:rsidR="00000000" w:rsidDel="00000000" w:rsidP="00000000" w:rsidRDefault="00000000" w:rsidRPr="00000000" w14:paraId="0000001F">
      <w:pPr>
        <w:numPr>
          <w:ilvl w:val="0"/>
          <w:numId w:val="6"/>
        </w:numPr>
        <w:spacing w:after="240" w:before="0" w:beforeAutospacing="0" w:lineRule="auto"/>
        <w:ind w:left="720" w:hanging="360"/>
      </w:pPr>
      <w:r w:rsidDel="00000000" w:rsidR="00000000" w:rsidRPr="00000000">
        <w:rPr>
          <w:rtl w:val="0"/>
        </w:rPr>
        <w:t xml:space="preserve">qualification review queues</w:t>
        <w:br w:type="textWrapping"/>
      </w:r>
    </w:p>
    <w:p w:rsidR="00000000" w:rsidDel="00000000" w:rsidP="00000000" w:rsidRDefault="00000000" w:rsidRPr="00000000" w14:paraId="00000020">
      <w:pPr>
        <w:pStyle w:val="Heading4"/>
        <w:keepNext w:val="0"/>
        <w:keepLines w:val="0"/>
        <w:spacing w:after="40" w:before="240" w:lineRule="auto"/>
        <w:rPr>
          <w:b w:val="1"/>
          <w:bCs w:val="1"/>
          <w:color w:val="000000"/>
          <w:sz w:val="22"/>
          <w:szCs w:val="22"/>
        </w:rPr>
      </w:pPr>
      <w:bookmarkStart w:colFirst="0" w:colLast="0" w:name="_fz53u019wn48" w:id="7"/>
      <w:bookmarkEnd w:id="7"/>
      <w:r w:rsidDel="00000000" w:rsidR="00000000" w:rsidRPr="00000000">
        <w:rPr>
          <w:b w:val="1"/>
          <w:bCs w:val="1"/>
          <w:color w:val="000000"/>
          <w:sz w:val="22"/>
          <w:szCs w:val="22"/>
          <w:rtl w:val="0"/>
        </w:rPr>
        <w:t xml:space="preserve">4. Keep the model transparent</w:t>
      </w:r>
    </w:p>
    <w:p w:rsidR="00000000" w:rsidDel="00000000" w:rsidP="00000000" w:rsidRDefault="00000000" w:rsidRPr="00000000" w14:paraId="00000021">
      <w:pPr>
        <w:spacing w:after="240" w:before="240" w:lineRule="auto"/>
        <w:rPr/>
      </w:pPr>
      <w:r w:rsidDel="00000000" w:rsidR="00000000" w:rsidRPr="00000000">
        <w:rPr>
          <w:rtl w:val="0"/>
        </w:rPr>
        <w:t xml:space="preserve">One of the strengths of this analysis is that the logic is simple enough to explain. A transparent model is easier to trust, easier to audit, and easier to revise over time.</w:t>
      </w:r>
    </w:p>
    <w:p w:rsidR="00000000" w:rsidDel="00000000" w:rsidP="00000000" w:rsidRDefault="00000000" w:rsidRPr="00000000" w14:paraId="00000022">
      <w:pPr>
        <w:spacing w:after="240" w:before="240" w:lineRule="auto"/>
        <w:rPr/>
      </w:pPr>
      <w:r w:rsidDel="00000000" w:rsidR="00000000" w:rsidRPr="00000000">
        <w:rPr>
          <w:rtl w:val="0"/>
        </w:rPr>
        <w:t xml:space="preserve">Possible operational uses:</w:t>
      </w:r>
    </w:p>
    <w:p w:rsidR="00000000" w:rsidDel="00000000" w:rsidP="00000000" w:rsidRDefault="00000000" w:rsidRPr="00000000" w14:paraId="00000023">
      <w:pPr>
        <w:numPr>
          <w:ilvl w:val="0"/>
          <w:numId w:val="5"/>
        </w:numPr>
        <w:spacing w:after="0" w:afterAutospacing="0" w:before="240" w:lineRule="auto"/>
        <w:ind w:left="720" w:hanging="360"/>
      </w:pPr>
      <w:r w:rsidDel="00000000" w:rsidR="00000000" w:rsidRPr="00000000">
        <w:rPr>
          <w:rtl w:val="0"/>
        </w:rPr>
        <w:t xml:space="preserve">stakeholder alignment</w:t>
        <w:br w:type="textWrapping"/>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better handoff conversations</w:t>
        <w:br w:type="textWrapping"/>
      </w:r>
    </w:p>
    <w:p w:rsidR="00000000" w:rsidDel="00000000" w:rsidP="00000000" w:rsidRDefault="00000000" w:rsidRPr="00000000" w14:paraId="00000025">
      <w:pPr>
        <w:numPr>
          <w:ilvl w:val="0"/>
          <w:numId w:val="5"/>
        </w:numPr>
        <w:spacing w:after="0" w:afterAutospacing="0" w:before="0" w:beforeAutospacing="0" w:lineRule="auto"/>
        <w:ind w:left="720" w:hanging="360"/>
      </w:pPr>
      <w:r w:rsidDel="00000000" w:rsidR="00000000" w:rsidRPr="00000000">
        <w:rPr>
          <w:rtl w:val="0"/>
        </w:rPr>
        <w:t xml:space="preserve">simpler documentation</w:t>
        <w:br w:type="textWrapping"/>
      </w:r>
    </w:p>
    <w:p w:rsidR="00000000" w:rsidDel="00000000" w:rsidP="00000000" w:rsidRDefault="00000000" w:rsidRPr="00000000" w14:paraId="00000026">
      <w:pPr>
        <w:numPr>
          <w:ilvl w:val="0"/>
          <w:numId w:val="5"/>
        </w:numPr>
        <w:spacing w:after="240" w:before="0" w:beforeAutospacing="0" w:lineRule="auto"/>
        <w:ind w:left="720" w:hanging="360"/>
      </w:pPr>
      <w:r w:rsidDel="00000000" w:rsidR="00000000" w:rsidRPr="00000000">
        <w:rPr>
          <w:rtl w:val="0"/>
        </w:rPr>
        <w:t xml:space="preserve">easier score maintenance</w:t>
        <w:br w:type="textWrapping"/>
      </w:r>
    </w:p>
    <w:p w:rsidR="00000000" w:rsidDel="00000000" w:rsidP="00000000" w:rsidRDefault="00000000" w:rsidRPr="00000000" w14:paraId="00000027">
      <w:pPr>
        <w:pStyle w:val="Heading3"/>
        <w:keepNext w:val="0"/>
        <w:keepLines w:val="0"/>
        <w:spacing w:before="280" w:lineRule="auto"/>
        <w:rPr>
          <w:b w:val="1"/>
          <w:bCs w:val="1"/>
          <w:color w:val="000000"/>
          <w:sz w:val="26"/>
          <w:szCs w:val="26"/>
        </w:rPr>
      </w:pPr>
      <w:bookmarkStart w:colFirst="0" w:colLast="0" w:name="_ei3ax2lrrg9r" w:id="8"/>
      <w:bookmarkEnd w:id="8"/>
      <w:r w:rsidDel="00000000" w:rsidR="00000000" w:rsidRPr="00000000">
        <w:rPr>
          <w:b w:val="1"/>
          <w:bCs w:val="1"/>
          <w:color w:val="000000"/>
          <w:sz w:val="26"/>
          <w:szCs w:val="26"/>
          <w:rtl w:val="0"/>
        </w:rPr>
        <w:t xml:space="preserve">Strategic implication</w:t>
      </w:r>
    </w:p>
    <w:p w:rsidR="00000000" w:rsidDel="00000000" w:rsidP="00000000" w:rsidRDefault="00000000" w:rsidRPr="00000000" w14:paraId="00000028">
      <w:pPr>
        <w:spacing w:after="240" w:before="240" w:lineRule="auto"/>
        <w:rPr/>
      </w:pPr>
      <w:r w:rsidDel="00000000" w:rsidR="00000000" w:rsidRPr="00000000">
        <w:rPr>
          <w:rtl w:val="0"/>
        </w:rPr>
        <w:t xml:space="preserve">The broader implication is that operational efficiency does not always require more complexity. In many cases, a clear and defensible set of behavioral rules can improve focus and responsiveness without the overhead of a sophisticated predictive system.</w:t>
      </w:r>
    </w:p>
    <w:p w:rsidR="00000000" w:rsidDel="00000000" w:rsidP="00000000" w:rsidRDefault="00000000" w:rsidRPr="00000000" w14:paraId="00000029">
      <w:pPr>
        <w:pStyle w:val="Heading3"/>
        <w:keepNext w:val="0"/>
        <w:keepLines w:val="0"/>
        <w:spacing w:before="280" w:lineRule="auto"/>
        <w:rPr>
          <w:b w:val="1"/>
          <w:bCs w:val="1"/>
          <w:color w:val="000000"/>
          <w:sz w:val="26"/>
          <w:szCs w:val="26"/>
        </w:rPr>
      </w:pPr>
      <w:bookmarkStart w:colFirst="0" w:colLast="0" w:name="_n0ejbg64a4r7" w:id="9"/>
      <w:bookmarkEnd w:id="9"/>
      <w:r w:rsidDel="00000000" w:rsidR="00000000" w:rsidRPr="00000000">
        <w:rPr>
          <w:b w:val="1"/>
          <w:bCs w:val="1"/>
          <w:color w:val="000000"/>
          <w:sz w:val="26"/>
          <w:szCs w:val="26"/>
          <w:rtl w:val="0"/>
        </w:rPr>
        <w:t xml:space="preserve">Final recommendation</w:t>
      </w:r>
    </w:p>
    <w:p w:rsidR="00000000" w:rsidDel="00000000" w:rsidP="00000000" w:rsidRDefault="00000000" w:rsidRPr="00000000" w14:paraId="0000002A">
      <w:pPr>
        <w:spacing w:after="240" w:before="240" w:lineRule="auto"/>
        <w:rPr/>
      </w:pPr>
      <w:r w:rsidDel="00000000" w:rsidR="00000000" w:rsidRPr="00000000">
        <w:rPr>
          <w:rtl w:val="0"/>
        </w:rPr>
        <w:t xml:space="preserve">The strongest next step is to convert these insights into lightweight operational rules:</w:t>
      </w:r>
    </w:p>
    <w:p w:rsidR="00000000" w:rsidDel="00000000" w:rsidP="00000000" w:rsidRDefault="00000000" w:rsidRPr="00000000" w14:paraId="0000002B">
      <w:pPr>
        <w:numPr>
          <w:ilvl w:val="0"/>
          <w:numId w:val="4"/>
        </w:numPr>
        <w:spacing w:after="0" w:afterAutospacing="0" w:before="240" w:lineRule="auto"/>
        <w:ind w:left="720" w:hanging="360"/>
      </w:pPr>
      <w:r w:rsidDel="00000000" w:rsidR="00000000" w:rsidRPr="00000000">
        <w:rPr>
          <w:rtl w:val="0"/>
        </w:rPr>
        <w:t xml:space="preserve">prioritize higher-engagement leads</w:t>
        <w:br w:type="textWrapping"/>
      </w:r>
    </w:p>
    <w:p w:rsidR="00000000" w:rsidDel="00000000" w:rsidP="00000000" w:rsidRDefault="00000000" w:rsidRPr="00000000" w14:paraId="0000002C">
      <w:pPr>
        <w:numPr>
          <w:ilvl w:val="0"/>
          <w:numId w:val="4"/>
        </w:numPr>
        <w:spacing w:after="0" w:afterAutospacing="0" w:before="0" w:beforeAutospacing="0" w:lineRule="auto"/>
        <w:ind w:left="720" w:hanging="360"/>
      </w:pPr>
      <w:r w:rsidDel="00000000" w:rsidR="00000000" w:rsidRPr="00000000">
        <w:rPr>
          <w:rtl w:val="0"/>
        </w:rPr>
        <w:t xml:space="preserve">respond faster to recent leads</w:t>
        <w:br w:type="textWrapping"/>
      </w:r>
    </w:p>
    <w:p w:rsidR="00000000" w:rsidDel="00000000" w:rsidP="00000000" w:rsidRDefault="00000000" w:rsidRPr="00000000" w14:paraId="0000002D">
      <w:pPr>
        <w:numPr>
          <w:ilvl w:val="0"/>
          <w:numId w:val="4"/>
        </w:numPr>
        <w:spacing w:after="0" w:afterAutospacing="0" w:before="0" w:beforeAutospacing="0" w:lineRule="auto"/>
        <w:ind w:left="720" w:hanging="360"/>
      </w:pPr>
      <w:r w:rsidDel="00000000" w:rsidR="00000000" w:rsidRPr="00000000">
        <w:rPr>
          <w:rtl w:val="0"/>
        </w:rPr>
        <w:t xml:space="preserve">align follow-up logic with observed behavior</w:t>
        <w:br w:type="textWrapping"/>
      </w:r>
    </w:p>
    <w:p w:rsidR="00000000" w:rsidDel="00000000" w:rsidP="00000000" w:rsidRDefault="00000000" w:rsidRPr="00000000" w14:paraId="0000002E">
      <w:pPr>
        <w:numPr>
          <w:ilvl w:val="0"/>
          <w:numId w:val="4"/>
        </w:numPr>
        <w:spacing w:after="240" w:before="0" w:beforeAutospacing="0" w:lineRule="auto"/>
        <w:ind w:left="720" w:hanging="360"/>
      </w:pPr>
      <w:r w:rsidDel="00000000" w:rsidR="00000000" w:rsidRPr="00000000">
        <w:rPr>
          <w:rtl w:val="0"/>
        </w:rPr>
        <w:t xml:space="preserve">review and refine thresholds over time</w:t>
        <w:br w:type="textWrapping"/>
      </w:r>
    </w:p>
    <w:p w:rsidR="00000000" w:rsidDel="00000000" w:rsidP="00000000" w:rsidRDefault="00000000" w:rsidRPr="00000000" w14:paraId="0000002F">
      <w:pPr>
        <w:spacing w:after="240" w:before="240" w:lineRule="auto"/>
        <w:rPr/>
      </w:pPr>
      <w:r w:rsidDel="00000000" w:rsidR="00000000" w:rsidRPr="00000000">
        <w:rPr>
          <w:rtl w:val="0"/>
        </w:rPr>
        <w:t xml:space="preserve">This keeps the system actionable, scalable, and interpretable.</w:t>
      </w:r>
    </w:p>
    <w:p w:rsidR="00000000" w:rsidDel="00000000" w:rsidP="00000000" w:rsidRDefault="00000000" w:rsidRPr="00000000" w14:paraId="00000030">
      <w:pPr>
        <w:spacing w:after="240" w:before="240" w:lineRule="auto"/>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